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9194"/>
      </w:tblGrid>
      <w:tr w:rsidR="00CC1BE4" w:rsidRPr="006E75F7" w14:paraId="205F26DB" w14:textId="77777777" w:rsidTr="0085056F">
        <w:trPr>
          <w:trHeight w:val="438"/>
        </w:trPr>
        <w:tc>
          <w:tcPr>
            <w:tcW w:w="9900" w:type="dxa"/>
            <w:gridSpan w:val="2"/>
            <w:tcBorders>
              <w:bottom w:val="nil"/>
            </w:tcBorders>
            <w:shd w:val="clear" w:color="auto" w:fill="365F91" w:themeFill="accent1" w:themeFillShade="BF"/>
            <w:vAlign w:val="center"/>
          </w:tcPr>
          <w:p w14:paraId="42AA7534" w14:textId="374BFB58" w:rsidR="00CC1BE4" w:rsidRPr="009061AD" w:rsidRDefault="00CC1BE4" w:rsidP="008F09F6">
            <w:pPr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9A035C">
              <w:rPr>
                <w:rFonts w:ascii="Myriad Pro" w:hAnsi="Myriad Pro"/>
                <w:noProof/>
                <w:color w:val="003366"/>
                <w:sz w:val="32"/>
                <w:szCs w:val="32"/>
              </w:rPr>
              <w:drawing>
                <wp:inline distT="0" distB="0" distL="0" distR="0" wp14:anchorId="78F62D1E" wp14:editId="172DC30C">
                  <wp:extent cx="2136714" cy="3840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Pitt20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1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hAnsi="Myriad Pro"/>
                <w:b/>
                <w:color w:val="003366"/>
                <w:sz w:val="40"/>
                <w:szCs w:val="36"/>
              </w:rPr>
              <w:t xml:space="preserve">                                                             </w:t>
            </w:r>
            <w:r>
              <w:rPr>
                <w:rFonts w:ascii="Myriad Pro" w:hAnsi="Myriad Pro"/>
                <w:b/>
                <w:noProof/>
                <w:color w:val="003366"/>
                <w:sz w:val="40"/>
                <w:szCs w:val="36"/>
              </w:rPr>
              <w:drawing>
                <wp:inline distT="0" distB="0" distL="0" distR="0" wp14:anchorId="51A0739B" wp14:editId="137FEFC2">
                  <wp:extent cx="842194" cy="411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gehuntingProtocol20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9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5A59" w:rsidRPr="006E75F7" w14:paraId="4309700F" w14:textId="77777777" w:rsidTr="00F31426">
        <w:trPr>
          <w:trHeight w:val="653"/>
        </w:trPr>
        <w:tc>
          <w:tcPr>
            <w:tcW w:w="9900" w:type="dxa"/>
            <w:gridSpan w:val="2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14:paraId="7D6266AA" w14:textId="0FDB7948" w:rsidR="00CF5A59" w:rsidRPr="005C7674" w:rsidRDefault="00EF2A9A" w:rsidP="006A6BD6">
            <w:pPr>
              <w:rPr>
                <w:rFonts w:ascii="Myriad Pro" w:hAnsi="Myriad Pro"/>
              </w:rPr>
            </w:pP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71C878A0" wp14:editId="32C8782E">
                  <wp:extent cx="649224" cy="773855"/>
                  <wp:effectExtent l="0" t="0" r="11430" b="0"/>
                  <wp:docPr id="25" name="Picture 1" descr="Macintosh HD:Users:Enoch:Desktop:New Protocols:Logos and Graphics:Workflow:Prepa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FB73F79" wp14:editId="440AD8BA">
                  <wp:extent cx="649224" cy="770887"/>
                  <wp:effectExtent l="0" t="0" r="11430" b="0"/>
                  <wp:docPr id="26" name="Picture 2" descr="Macintosh HD:Users:Enoch:Desktop:New Protocols:Logos and Graphics:Workflow:IsolationP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F293441" wp14:editId="1AC695E8">
                  <wp:extent cx="649224" cy="773855"/>
                  <wp:effectExtent l="0" t="0" r="11430" b="0"/>
                  <wp:docPr id="27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F719529" wp14:editId="5374225B">
                  <wp:extent cx="649224" cy="773855"/>
                  <wp:effectExtent l="0" t="0" r="11430" b="0"/>
                  <wp:docPr id="28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2956DC72" wp14:editId="2A7E0E6D">
                  <wp:extent cx="649224" cy="767009"/>
                  <wp:effectExtent l="0" t="0" r="11430" b="0"/>
                  <wp:docPr id="29" name="Picture 5" descr="Macintosh HD:Users:Enoch:Desktop:New Protocols:Logos and Graphics:Workflow:Characteriz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6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B9FB15F" wp14:editId="58644D19">
                  <wp:extent cx="649224" cy="771355"/>
                  <wp:effectExtent l="0" t="0" r="11430" b="0"/>
                  <wp:docPr id="30" name="Picture 6" descr="Macintosh HD:Users:Enoch:Desktop:New Protocols:Logos and Graphics:Workflow:Sequencing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AEE8BC8" wp14:editId="4C752703">
                  <wp:extent cx="649224" cy="773855"/>
                  <wp:effectExtent l="0" t="0" r="11430" b="0"/>
                  <wp:docPr id="31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5667023" wp14:editId="05E8C496">
                  <wp:extent cx="649224" cy="773855"/>
                  <wp:effectExtent l="0" t="0" r="11430" b="0"/>
                  <wp:docPr id="32" name="Picture 8" descr="Macintosh HD:Users:Enoch:Desktop:New Protocols:Logos and Graphics:Workflow:Phamer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7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4DCA681D" wp14:editId="6908EE29">
                  <wp:extent cx="649224" cy="761531"/>
                  <wp:effectExtent l="0" t="0" r="11430" b="635"/>
                  <wp:docPr id="33" name="Picture 9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76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59" w:rsidRPr="006E75F7" w14:paraId="567CF7E6" w14:textId="77777777" w:rsidTr="0067085A">
        <w:trPr>
          <w:trHeight w:val="11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C1CC34B" w14:textId="70599DB8" w:rsidR="00CF5A59" w:rsidRPr="00EA1948" w:rsidRDefault="005203CC" w:rsidP="0067085A">
            <w:pPr>
              <w:spacing w:line="0" w:lineRule="atLeast"/>
              <w:rPr>
                <w:rFonts w:ascii="Myriad Pro" w:hAnsi="Myriad Pro"/>
                <w:b/>
                <w:bCs/>
                <w:sz w:val="27"/>
                <w:szCs w:val="27"/>
                <w14:glow w14:rad="63500">
                  <w14:srgbClr w14:val="2BD42B">
                    <w14:alpha w14:val="60000"/>
                  </w14:srgbClr>
                </w14:glow>
              </w:rPr>
            </w:pPr>
            <w:r>
              <w:rPr>
                <w:rFonts w:ascii="Myriad Pro" w:hAnsi="Myriad Pro"/>
                <w:b/>
                <w:sz w:val="27"/>
                <w:szCs w:val="27"/>
                <w14:glow w14:rad="63500">
                  <w14:srgbClr w14:val="2F4CE4">
                    <w14:alpha w14:val="45000"/>
                  </w14:srgbClr>
                </w14:glow>
              </w:rPr>
              <w:t>Electron Microscopy Grid Sample Preparation</w:t>
            </w:r>
          </w:p>
        </w:tc>
      </w:tr>
      <w:tr w:rsidR="002248F3" w:rsidRPr="00072AE1" w14:paraId="0B79DE33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421DC776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O</w:t>
            </w:r>
            <w:r w:rsidRPr="00072AE1">
              <w:rPr>
                <w:rFonts w:ascii="Myriad Pro" w:hAnsi="Myriad Pro"/>
                <w:b/>
                <w:sz w:val="18"/>
              </w:rPr>
              <w:t>BJECTIVE</w:t>
            </w:r>
          </w:p>
        </w:tc>
      </w:tr>
      <w:tr w:rsidR="002248F3" w:rsidRPr="00072AE1" w14:paraId="04DEA287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5D4E0652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15554FAF" w14:textId="464E460E" w:rsidR="002248F3" w:rsidRPr="00072AE1" w:rsidRDefault="002248F3" w:rsidP="00CF4F6A">
            <w:p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To prepare (glow-discharge) grids for sample application</w:t>
            </w:r>
            <w:r w:rsidR="00817086">
              <w:rPr>
                <w:rFonts w:ascii="Myriad Pro" w:hAnsi="Myriad Pro"/>
              </w:rPr>
              <w:t>.</w:t>
            </w:r>
          </w:p>
        </w:tc>
      </w:tr>
      <w:tr w:rsidR="002248F3" w:rsidRPr="00072AE1" w14:paraId="66907679" w14:textId="77777777" w:rsidTr="00CF4F6A">
        <w:trPr>
          <w:trHeight w:val="303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6C0DC020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B</w:t>
            </w:r>
            <w:r w:rsidRPr="00072AE1">
              <w:rPr>
                <w:rFonts w:ascii="Myriad Pro" w:hAnsi="Myriad Pro"/>
                <w:b/>
                <w:sz w:val="18"/>
              </w:rPr>
              <w:t>ACKGROUND</w:t>
            </w:r>
          </w:p>
        </w:tc>
      </w:tr>
      <w:tr w:rsidR="002248F3" w:rsidRPr="00072AE1" w14:paraId="249120BC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4F1DDAB2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475BB73B" w14:textId="0F833822" w:rsidR="002248F3" w:rsidRPr="00072AE1" w:rsidRDefault="002248F3" w:rsidP="002248F3">
            <w:p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The grids electron</w:t>
            </w:r>
            <w:r>
              <w:rPr>
                <w:rFonts w:ascii="Myriad Pro" w:hAnsi="Myriad Pro"/>
              </w:rPr>
              <w:t xml:space="preserve"> </w:t>
            </w:r>
            <w:r w:rsidRPr="00072AE1">
              <w:rPr>
                <w:rFonts w:ascii="Myriad Pro" w:hAnsi="Myriad Pro"/>
              </w:rPr>
              <w:t>microscopy needs to have little or NO charge, so that the EM stain (</w:t>
            </w:r>
            <w:proofErr w:type="spellStart"/>
            <w:r w:rsidRPr="00072AE1">
              <w:rPr>
                <w:rFonts w:ascii="Myriad Pro" w:hAnsi="Myriad Pro"/>
              </w:rPr>
              <w:t>uranyl</w:t>
            </w:r>
            <w:proofErr w:type="spellEnd"/>
            <w:r w:rsidRPr="00072AE1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a</w:t>
            </w:r>
            <w:r w:rsidRPr="00072AE1">
              <w:rPr>
                <w:rFonts w:ascii="Myriad Pro" w:hAnsi="Myriad Pro"/>
              </w:rPr>
              <w:t>cetate) behaves correctly.</w:t>
            </w:r>
          </w:p>
        </w:tc>
      </w:tr>
      <w:tr w:rsidR="002248F3" w:rsidRPr="00072AE1" w14:paraId="495E4AAC" w14:textId="77777777" w:rsidTr="00CF4F6A">
        <w:trPr>
          <w:trHeight w:val="222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6EA19F04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A</w:t>
            </w:r>
            <w:r w:rsidRPr="00072AE1">
              <w:rPr>
                <w:rFonts w:ascii="Myriad Pro" w:hAnsi="Myriad Pro"/>
                <w:b/>
                <w:sz w:val="18"/>
              </w:rPr>
              <w:t xml:space="preserve">PPROXIMATE </w:t>
            </w:r>
            <w:r w:rsidRPr="00072AE1">
              <w:rPr>
                <w:rFonts w:ascii="Myriad Pro" w:hAnsi="Myriad Pro"/>
                <w:b/>
              </w:rPr>
              <w:t>T</w:t>
            </w:r>
            <w:r w:rsidRPr="00072AE1">
              <w:rPr>
                <w:rFonts w:ascii="Myriad Pro" w:hAnsi="Myriad Pro"/>
                <w:b/>
                <w:sz w:val="18"/>
              </w:rPr>
              <w:t xml:space="preserve">IME </w:t>
            </w:r>
            <w:r w:rsidRPr="00072AE1">
              <w:rPr>
                <w:rFonts w:ascii="Myriad Pro" w:hAnsi="Myriad Pro"/>
                <w:b/>
              </w:rPr>
              <w:t>N</w:t>
            </w:r>
            <w:r w:rsidRPr="00072AE1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2248F3" w:rsidRPr="00072AE1" w14:paraId="129B841C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416389D1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22AAEEE5" w14:textId="5EC987EE" w:rsidR="002248F3" w:rsidRPr="00866245" w:rsidRDefault="00866245" w:rsidP="00CF4F6A">
            <w:pPr>
              <w:rPr>
                <w:rFonts w:ascii="Myriad Pro" w:hAnsi="Myriad Pro"/>
                <w:b/>
              </w:rPr>
            </w:pPr>
            <w:r w:rsidRPr="00866245">
              <w:rPr>
                <w:rFonts w:ascii="Myriad Pro" w:hAnsi="Myriad Pro"/>
                <w:b/>
              </w:rPr>
              <w:t>~</w:t>
            </w:r>
            <w:r w:rsidR="002248F3" w:rsidRPr="00866245">
              <w:rPr>
                <w:rFonts w:ascii="Myriad Pro" w:hAnsi="Myriad Pro"/>
                <w:b/>
              </w:rPr>
              <w:t>20 minutes</w:t>
            </w:r>
          </w:p>
        </w:tc>
      </w:tr>
      <w:tr w:rsidR="002248F3" w:rsidRPr="00072AE1" w14:paraId="5EB53A5C" w14:textId="77777777" w:rsidTr="00CF4F6A">
        <w:trPr>
          <w:trHeight w:val="285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7327F37F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M</w:t>
            </w:r>
            <w:r w:rsidRPr="00072AE1">
              <w:rPr>
                <w:rFonts w:ascii="Myriad Pro" w:hAnsi="Myriad Pro"/>
                <w:b/>
                <w:sz w:val="18"/>
              </w:rPr>
              <w:t xml:space="preserve">ATERIALS </w:t>
            </w:r>
            <w:r w:rsidRPr="00072AE1">
              <w:rPr>
                <w:rFonts w:ascii="Myriad Pro" w:hAnsi="Myriad Pro"/>
                <w:b/>
              </w:rPr>
              <w:t>N</w:t>
            </w:r>
            <w:r w:rsidRPr="00072AE1">
              <w:rPr>
                <w:rFonts w:ascii="Myriad Pro" w:hAnsi="Myriad Pro"/>
                <w:b/>
                <w:sz w:val="18"/>
              </w:rPr>
              <w:t>EEDED</w:t>
            </w:r>
          </w:p>
        </w:tc>
      </w:tr>
      <w:tr w:rsidR="002248F3" w:rsidRPr="00072AE1" w14:paraId="11ED2031" w14:textId="77777777" w:rsidTr="00CF4F6A">
        <w:tc>
          <w:tcPr>
            <w:tcW w:w="706" w:type="dxa"/>
            <w:tcBorders>
              <w:top w:val="nil"/>
              <w:right w:val="nil"/>
            </w:tcBorders>
          </w:tcPr>
          <w:p w14:paraId="698CB290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</w:tcBorders>
          </w:tcPr>
          <w:p w14:paraId="6B15EE55" w14:textId="77777777" w:rsidR="002248F3" w:rsidRDefault="002248F3" w:rsidP="00CF4F6A">
            <w:p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Equipment</w:t>
            </w:r>
          </w:p>
          <w:p w14:paraId="19AAFDBB" w14:textId="0A482A3C" w:rsidR="002248F3" w:rsidRDefault="009C441C" w:rsidP="00CF4F6A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 forceps (R</w:t>
            </w:r>
            <w:r w:rsidR="002248F3" w:rsidRPr="00072AE1">
              <w:rPr>
                <w:rFonts w:ascii="Myriad Pro" w:hAnsi="Myriad Pro"/>
              </w:rPr>
              <w:t>everse N4-style)</w:t>
            </w:r>
          </w:p>
          <w:p w14:paraId="22BBF0E5" w14:textId="6B5F31DF" w:rsidR="002248F3" w:rsidRPr="00072AE1" w:rsidRDefault="00EF0395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Tube rack</w:t>
            </w:r>
          </w:p>
          <w:p w14:paraId="1F1536B1" w14:textId="3492CF88" w:rsidR="002248F3" w:rsidRPr="00072AE1" w:rsidRDefault="006659D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P10, P20, and P200 </w:t>
            </w:r>
            <w:r w:rsidR="00EF0395">
              <w:rPr>
                <w:rFonts w:ascii="Myriad Pro" w:hAnsi="Myriad Pro"/>
              </w:rPr>
              <w:t>M</w:t>
            </w:r>
            <w:r w:rsidR="002248F3">
              <w:rPr>
                <w:rFonts w:ascii="Myriad Pro" w:hAnsi="Myriad Pro"/>
              </w:rPr>
              <w:t>icropipettors</w:t>
            </w:r>
          </w:p>
          <w:p w14:paraId="77F4072C" w14:textId="77777777" w:rsidR="002248F3" w:rsidRDefault="002248F3" w:rsidP="00CF4F6A">
            <w:pPr>
              <w:rPr>
                <w:rFonts w:ascii="Myriad Pro" w:hAnsi="Myriad Pro"/>
              </w:rPr>
            </w:pPr>
          </w:p>
          <w:p w14:paraId="1A4C4103" w14:textId="77777777" w:rsidR="003C124C" w:rsidRDefault="002248F3" w:rsidP="003C124C">
            <w:p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 xml:space="preserve">Consumables/Reagents </w:t>
            </w:r>
            <w:r w:rsidR="003C124C">
              <w:rPr>
                <w:rFonts w:ascii="Myriad Pro" w:hAnsi="Myriad Pro"/>
              </w:rPr>
              <w:t>(See online media preparation guides)</w:t>
            </w:r>
          </w:p>
          <w:p w14:paraId="2137716B" w14:textId="77777777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400 Mesh, support film, carbon coated EM grids (Ted Pella # 01814-F)</w:t>
            </w:r>
          </w:p>
          <w:p w14:paraId="0C63F61E" w14:textId="4D226398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 xml:space="preserve">1% </w:t>
            </w:r>
            <w:proofErr w:type="spellStart"/>
            <w:r w:rsidR="00A1019E">
              <w:rPr>
                <w:rFonts w:ascii="Myriad Pro" w:hAnsi="Myriad Pro"/>
              </w:rPr>
              <w:t>u</w:t>
            </w:r>
            <w:r w:rsidRPr="00072AE1">
              <w:rPr>
                <w:rFonts w:ascii="Myriad Pro" w:hAnsi="Myriad Pro"/>
              </w:rPr>
              <w:t>ranyl</w:t>
            </w:r>
            <w:proofErr w:type="spellEnd"/>
            <w:r w:rsidRPr="00072AE1">
              <w:rPr>
                <w:rFonts w:ascii="Myriad Pro" w:hAnsi="Myriad Pro"/>
              </w:rPr>
              <w:t xml:space="preserve"> </w:t>
            </w:r>
            <w:r w:rsidR="00A1019E">
              <w:rPr>
                <w:rFonts w:ascii="Myriad Pro" w:hAnsi="Myriad Pro"/>
              </w:rPr>
              <w:t>a</w:t>
            </w:r>
            <w:r w:rsidRPr="00072AE1">
              <w:rPr>
                <w:rFonts w:ascii="Myriad Pro" w:hAnsi="Myriad Pro"/>
              </w:rPr>
              <w:t>cetate solution, filtered through 0.2</w:t>
            </w:r>
            <w:r w:rsidR="00D739A8">
              <w:rPr>
                <w:rFonts w:ascii="Myriad Pro" w:hAnsi="Myriad Pro"/>
              </w:rPr>
              <w:t xml:space="preserve"> </w:t>
            </w:r>
            <w:r w:rsidRPr="00072AE1">
              <w:rPr>
                <w:rFonts w:ascii="Myriad Pro" w:hAnsi="Myriad Pro"/>
              </w:rPr>
              <w:sym w:font="Symbol" w:char="F06D"/>
            </w:r>
            <w:r w:rsidR="00D739A8">
              <w:rPr>
                <w:rFonts w:ascii="Myriad Pro" w:hAnsi="Myriad Pro"/>
              </w:rPr>
              <w:t>m</w:t>
            </w:r>
            <w:r w:rsidRPr="00072AE1">
              <w:rPr>
                <w:rFonts w:ascii="Myriad Pro" w:hAnsi="Myriad Pro"/>
              </w:rPr>
              <w:t xml:space="preserve"> syringe filter to remove precipitates</w:t>
            </w:r>
          </w:p>
          <w:p w14:paraId="71E58F66" w14:textId="77777777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HPLC water (or other extremely clean water)</w:t>
            </w:r>
          </w:p>
          <w:p w14:paraId="0EBB263B" w14:textId="77777777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proofErr w:type="spellStart"/>
            <w:r w:rsidRPr="00072AE1">
              <w:rPr>
                <w:rFonts w:ascii="Myriad Pro" w:hAnsi="Myriad Pro"/>
              </w:rPr>
              <w:t>Whatmann</w:t>
            </w:r>
            <w:proofErr w:type="spellEnd"/>
            <w:r w:rsidRPr="00072AE1">
              <w:rPr>
                <w:rFonts w:ascii="Myriad Pro" w:hAnsi="Myriad Pro"/>
              </w:rPr>
              <w:t xml:space="preserve"> filter paper cut into wedges</w:t>
            </w:r>
          </w:p>
          <w:p w14:paraId="3CB667BF" w14:textId="77777777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 w:rsidRPr="00072AE1">
              <w:rPr>
                <w:rFonts w:ascii="Myriad Pro" w:hAnsi="Myriad Pro"/>
              </w:rPr>
              <w:t>Phage buffer</w:t>
            </w:r>
          </w:p>
          <w:p w14:paraId="3CB6DAB6" w14:textId="77777777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proofErr w:type="spellStart"/>
            <w:r w:rsidRPr="00072AE1">
              <w:rPr>
                <w:rFonts w:ascii="Myriad Pro" w:hAnsi="Myriad Pro"/>
              </w:rPr>
              <w:t>Eppendorf</w:t>
            </w:r>
            <w:proofErr w:type="spellEnd"/>
            <w:r w:rsidRPr="00072AE1">
              <w:rPr>
                <w:rFonts w:ascii="Myriad Pro" w:hAnsi="Myriad Pro"/>
              </w:rPr>
              <w:t xml:space="preserve"> tubes</w:t>
            </w:r>
          </w:p>
          <w:p w14:paraId="18FF36FC" w14:textId="2EABD244" w:rsidR="002248F3" w:rsidRPr="00072AE1" w:rsidRDefault="002248F3" w:rsidP="002248F3">
            <w:pPr>
              <w:pStyle w:val="ListParagraph"/>
              <w:numPr>
                <w:ilvl w:val="0"/>
                <w:numId w:val="36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Appropriate pipette tips</w:t>
            </w:r>
          </w:p>
        </w:tc>
      </w:tr>
      <w:tr w:rsidR="002248F3" w:rsidRPr="00072AE1" w14:paraId="6DF51E4B" w14:textId="77777777" w:rsidTr="00CF4F6A">
        <w:trPr>
          <w:trHeight w:val="240"/>
        </w:trPr>
        <w:tc>
          <w:tcPr>
            <w:tcW w:w="9900" w:type="dxa"/>
            <w:gridSpan w:val="2"/>
            <w:tcBorders>
              <w:bottom w:val="nil"/>
            </w:tcBorders>
            <w:vAlign w:val="center"/>
          </w:tcPr>
          <w:p w14:paraId="50F8A595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  <w:r w:rsidRPr="00072AE1">
              <w:rPr>
                <w:rFonts w:ascii="Myriad Pro" w:hAnsi="Myriad Pro"/>
                <w:b/>
              </w:rPr>
              <w:t>H</w:t>
            </w:r>
            <w:r w:rsidRPr="00072AE1">
              <w:rPr>
                <w:rFonts w:ascii="Myriad Pro" w:hAnsi="Myriad Pro"/>
                <w:b/>
                <w:sz w:val="18"/>
              </w:rPr>
              <w:t xml:space="preserve">ELPFUL </w:t>
            </w:r>
            <w:r w:rsidRPr="00072AE1">
              <w:rPr>
                <w:rFonts w:ascii="Myriad Pro" w:hAnsi="Myriad Pro"/>
                <w:b/>
              </w:rPr>
              <w:t>T</w:t>
            </w:r>
            <w:r w:rsidRPr="00072AE1">
              <w:rPr>
                <w:rFonts w:ascii="Myriad Pro" w:hAnsi="Myriad Pro"/>
                <w:b/>
                <w:sz w:val="18"/>
              </w:rPr>
              <w:t>IPS</w:t>
            </w:r>
          </w:p>
        </w:tc>
      </w:tr>
      <w:tr w:rsidR="002248F3" w:rsidRPr="00072AE1" w14:paraId="04E4A492" w14:textId="77777777" w:rsidTr="00CF4F6A">
        <w:tc>
          <w:tcPr>
            <w:tcW w:w="706" w:type="dxa"/>
            <w:tcBorders>
              <w:top w:val="nil"/>
              <w:bottom w:val="single" w:sz="12" w:space="0" w:color="365F91" w:themeColor="accent1" w:themeShade="BF"/>
              <w:right w:val="nil"/>
            </w:tcBorders>
          </w:tcPr>
          <w:p w14:paraId="6F9802ED" w14:textId="77777777" w:rsidR="002248F3" w:rsidRPr="00072AE1" w:rsidRDefault="002248F3" w:rsidP="00CF4F6A">
            <w:pPr>
              <w:rPr>
                <w:rFonts w:ascii="Myriad Pro" w:hAnsi="Myriad Pro"/>
                <w:b/>
              </w:rPr>
            </w:pPr>
          </w:p>
        </w:tc>
        <w:tc>
          <w:tcPr>
            <w:tcW w:w="9194" w:type="dxa"/>
            <w:tcBorders>
              <w:top w:val="nil"/>
              <w:left w:val="nil"/>
              <w:bottom w:val="single" w:sz="12" w:space="0" w:color="365F91" w:themeColor="accent1" w:themeShade="BF"/>
            </w:tcBorders>
          </w:tcPr>
          <w:p w14:paraId="35B53CA7" w14:textId="57C7F9B3" w:rsidR="002248F3" w:rsidRPr="00072AE1" w:rsidRDefault="002248F3" w:rsidP="002248F3">
            <w:pPr>
              <w:numPr>
                <w:ilvl w:val="0"/>
                <w:numId w:val="3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This protocol outlines procedures that are specific to the labs at the University of Pittsburgh. </w:t>
            </w:r>
          </w:p>
        </w:tc>
      </w:tr>
    </w:tbl>
    <w:p w14:paraId="79C06B93" w14:textId="77777777" w:rsidR="003C124C" w:rsidRDefault="003C124C" w:rsidP="002248F3">
      <w:pPr>
        <w:spacing w:after="0" w:line="240" w:lineRule="auto"/>
        <w:ind w:left="-180"/>
        <w:rPr>
          <w:rFonts w:ascii="Myriad Pro" w:hAnsi="Myriad Pro"/>
          <w:b/>
        </w:rPr>
      </w:pPr>
    </w:p>
    <w:p w14:paraId="62D5666E" w14:textId="2FC781B3" w:rsidR="002248F3" w:rsidRDefault="002248F3" w:rsidP="002248F3">
      <w:pPr>
        <w:spacing w:after="0" w:line="240" w:lineRule="auto"/>
        <w:ind w:left="-180"/>
        <w:rPr>
          <w:rFonts w:ascii="Myriad Pro" w:hAnsi="Myriad Pro"/>
        </w:rPr>
      </w:pPr>
      <w:r w:rsidRPr="00072AE1">
        <w:rPr>
          <w:rFonts w:ascii="Myriad Pro" w:hAnsi="Myriad Pro"/>
          <w:b/>
        </w:rPr>
        <w:t>P</w:t>
      </w:r>
      <w:r w:rsidRPr="00072AE1">
        <w:rPr>
          <w:rFonts w:ascii="Myriad Pro" w:hAnsi="Myriad Pro"/>
          <w:b/>
          <w:sz w:val="18"/>
        </w:rPr>
        <w:t>ROCEDURES</w:t>
      </w:r>
    </w:p>
    <w:p w14:paraId="13C76D8C" w14:textId="77777777" w:rsidR="002248F3" w:rsidRDefault="002248F3" w:rsidP="002248F3">
      <w:pPr>
        <w:spacing w:after="0" w:line="240" w:lineRule="auto"/>
        <w:rPr>
          <w:rFonts w:ascii="Myriad Pro" w:hAnsi="Myriad Pro"/>
        </w:rPr>
      </w:pPr>
    </w:p>
    <w:p w14:paraId="687C8EA4" w14:textId="00B39E94" w:rsidR="002248F3" w:rsidRPr="00866245" w:rsidRDefault="002248F3" w:rsidP="00866245">
      <w:pPr>
        <w:pStyle w:val="ListParagraph"/>
        <w:numPr>
          <w:ilvl w:val="0"/>
          <w:numId w:val="41"/>
        </w:numPr>
        <w:spacing w:after="0" w:line="240" w:lineRule="auto"/>
        <w:rPr>
          <w:rFonts w:ascii="Myriad Pro" w:hAnsi="Myriad Pro"/>
        </w:rPr>
      </w:pPr>
      <w:r w:rsidRPr="00866245">
        <w:rPr>
          <w:rFonts w:ascii="Myriad Pro" w:hAnsi="Myriad Pro"/>
        </w:rPr>
        <w:t>Glow-discharge grids (should be performed immediately before applying sample).</w:t>
      </w:r>
    </w:p>
    <w:p w14:paraId="21CCA45D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3346D071" w14:textId="3E231DCA" w:rsidR="002248F3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In Genome </w:t>
      </w:r>
      <w:r w:rsidR="003101E2">
        <w:rPr>
          <w:rFonts w:ascii="Myriad Pro" w:hAnsi="Myriad Pro"/>
        </w:rPr>
        <w:t>C</w:t>
      </w:r>
      <w:r w:rsidRPr="00072AE1">
        <w:rPr>
          <w:rFonts w:ascii="Myriad Pro" w:hAnsi="Myriad Pro"/>
        </w:rPr>
        <w:t xml:space="preserve">enter: Tighten the leak screw on the side of the vacuum chamber. Place grids, carbon (dark and shiny) side up, on a </w:t>
      </w:r>
      <w:proofErr w:type="spellStart"/>
      <w:r w:rsidRPr="00072AE1">
        <w:rPr>
          <w:rFonts w:ascii="Myriad Pro" w:hAnsi="Myriad Pro"/>
        </w:rPr>
        <w:t>pertri</w:t>
      </w:r>
      <w:proofErr w:type="spellEnd"/>
      <w:r w:rsidRPr="00072AE1">
        <w:rPr>
          <w:rFonts w:ascii="Myriad Pro" w:hAnsi="Myriad Pro"/>
        </w:rPr>
        <w:t xml:space="preserve"> dish on a strip of parafilm. </w:t>
      </w:r>
    </w:p>
    <w:p w14:paraId="18969844" w14:textId="77777777" w:rsidR="00866245" w:rsidRPr="00072AE1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3EB7421D" w14:textId="77777777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Place dish on the center of the pedestal and cover.</w:t>
      </w:r>
    </w:p>
    <w:p w14:paraId="3E05131F" w14:textId="77777777" w:rsid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17701BD1" w14:textId="77777777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Turn on vacuum pump. </w:t>
      </w:r>
    </w:p>
    <w:p w14:paraId="63BB7216" w14:textId="77777777" w:rsid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5680DA69" w14:textId="666A443C" w:rsidR="002248F3" w:rsidRPr="00E2077B" w:rsidRDefault="002248F3" w:rsidP="00E2077B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lastRenderedPageBreak/>
        <w:t xml:space="preserve">Set T joint to pump out chamber. </w:t>
      </w:r>
      <w:r w:rsidRPr="00E2077B">
        <w:rPr>
          <w:rFonts w:ascii="Myriad Pro" w:hAnsi="Myriad Pro"/>
        </w:rPr>
        <w:t>Pump down for 45</w:t>
      </w:r>
      <w:r w:rsidR="0021540A">
        <w:rPr>
          <w:rFonts w:ascii="Myriad Pro" w:hAnsi="Myriad Pro"/>
        </w:rPr>
        <w:t xml:space="preserve"> </w:t>
      </w:r>
      <w:r w:rsidRPr="00E2077B">
        <w:rPr>
          <w:rFonts w:ascii="Myriad Pro" w:hAnsi="Myriad Pro"/>
        </w:rPr>
        <w:t>s</w:t>
      </w:r>
      <w:r w:rsidR="0021540A">
        <w:rPr>
          <w:rFonts w:ascii="Myriad Pro" w:hAnsi="Myriad Pro"/>
        </w:rPr>
        <w:t>econds</w:t>
      </w:r>
      <w:r w:rsidRPr="00E2077B">
        <w:rPr>
          <w:rFonts w:ascii="Myriad Pro" w:hAnsi="Myriad Pro"/>
        </w:rPr>
        <w:t>.</w:t>
      </w:r>
    </w:p>
    <w:p w14:paraId="65342A42" w14:textId="77777777" w:rsidR="00866245" w:rsidRPr="00866245" w:rsidRDefault="00866245" w:rsidP="00866245">
      <w:pPr>
        <w:spacing w:after="0" w:line="240" w:lineRule="auto"/>
        <w:rPr>
          <w:rFonts w:ascii="Myriad Pro" w:hAnsi="Myriad Pro"/>
        </w:rPr>
      </w:pPr>
    </w:p>
    <w:p w14:paraId="2847DCAA" w14:textId="461D203B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Plug in high voltage power supply. Touch the end of the probe to the screw in</w:t>
      </w:r>
      <w:r w:rsidR="00CB37E6">
        <w:rPr>
          <w:rFonts w:ascii="Myriad Pro" w:hAnsi="Myriad Pro"/>
        </w:rPr>
        <w:t xml:space="preserve"> the top of the chamber for 45</w:t>
      </w:r>
      <w:r w:rsidR="0021540A">
        <w:rPr>
          <w:rFonts w:ascii="Myriad Pro" w:hAnsi="Myriad Pro"/>
        </w:rPr>
        <w:t xml:space="preserve"> – 60 seconds</w:t>
      </w:r>
      <w:r w:rsidRPr="00072AE1">
        <w:rPr>
          <w:rFonts w:ascii="Myriad Pro" w:hAnsi="Myriad Pro"/>
        </w:rPr>
        <w:t xml:space="preserve"> </w:t>
      </w:r>
    </w:p>
    <w:p w14:paraId="106A641C" w14:textId="77777777" w:rsid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67E93C86" w14:textId="77777777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Unplug supply.</w:t>
      </w:r>
    </w:p>
    <w:p w14:paraId="5C8F397F" w14:textId="77777777" w:rsid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79C3C78E" w14:textId="77777777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Set T joint to hold vacuum in chamber and pump air from the room to the pump. Switch pump off.</w:t>
      </w:r>
    </w:p>
    <w:p w14:paraId="7D9DA73B" w14:textId="77777777" w:rsid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66CB7B7C" w14:textId="67841D13" w:rsidR="002248F3" w:rsidRPr="00072AE1" w:rsidRDefault="002248F3" w:rsidP="00866245">
      <w:pPr>
        <w:pStyle w:val="ListParagraph"/>
        <w:numPr>
          <w:ilvl w:val="0"/>
          <w:numId w:val="38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Open leak valve a little, wait until </w:t>
      </w:r>
      <w:r w:rsidR="00925E40">
        <w:rPr>
          <w:rFonts w:ascii="Myriad Pro" w:hAnsi="Myriad Pro"/>
        </w:rPr>
        <w:t xml:space="preserve">the sound of air hissing into the chamber ceases. </w:t>
      </w:r>
    </w:p>
    <w:p w14:paraId="56354B7A" w14:textId="1EE68A5F" w:rsidR="002248F3" w:rsidRPr="002248F3" w:rsidRDefault="002248F3" w:rsidP="002248F3">
      <w:pPr>
        <w:spacing w:after="0" w:line="240" w:lineRule="auto"/>
        <w:rPr>
          <w:rFonts w:ascii="Myriad Pro" w:hAnsi="Myriad Pro"/>
        </w:rPr>
      </w:pPr>
    </w:p>
    <w:p w14:paraId="559D7A7C" w14:textId="65E73248" w:rsidR="002248F3" w:rsidRDefault="002248F3" w:rsidP="00866245">
      <w:pPr>
        <w:pStyle w:val="ListParagraph"/>
        <w:numPr>
          <w:ilvl w:val="0"/>
          <w:numId w:val="41"/>
        </w:numPr>
        <w:spacing w:after="0" w:line="240" w:lineRule="auto"/>
        <w:rPr>
          <w:rFonts w:ascii="Myriad Pro" w:hAnsi="Myriad Pro"/>
        </w:rPr>
      </w:pPr>
      <w:r w:rsidRPr="00866245">
        <w:rPr>
          <w:rFonts w:ascii="Myriad Pro" w:hAnsi="Myriad Pro"/>
        </w:rPr>
        <w:t>Apply sample and stain.</w:t>
      </w:r>
    </w:p>
    <w:p w14:paraId="2B1673C1" w14:textId="77777777" w:rsidR="00866245" w:rsidRPr="00866245" w:rsidRDefault="00866245" w:rsidP="00866245">
      <w:pPr>
        <w:pStyle w:val="ListParagraph"/>
        <w:spacing w:after="0" w:line="240" w:lineRule="auto"/>
        <w:rPr>
          <w:rFonts w:ascii="Myriad Pro" w:hAnsi="Myriad Pro"/>
        </w:rPr>
      </w:pPr>
    </w:p>
    <w:p w14:paraId="1570C7DB" w14:textId="16BFBA87" w:rsidR="002248F3" w:rsidRPr="00072AE1" w:rsidRDefault="0007387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Obtain </w:t>
      </w:r>
      <w:r w:rsidR="00240BCC">
        <w:rPr>
          <w:rFonts w:ascii="Myriad Pro" w:hAnsi="Myriad Pro"/>
        </w:rPr>
        <w:t xml:space="preserve">phage </w:t>
      </w:r>
      <w:r w:rsidR="002248F3" w:rsidRPr="00072AE1">
        <w:rPr>
          <w:rFonts w:ascii="Myriad Pro" w:hAnsi="Myriad Pro"/>
        </w:rPr>
        <w:t>sample, ddH</w:t>
      </w:r>
      <w:r w:rsidR="002248F3" w:rsidRPr="00866245">
        <w:rPr>
          <w:rFonts w:ascii="Myriad Pro" w:hAnsi="Myriad Pro"/>
          <w:vertAlign w:val="subscript"/>
        </w:rPr>
        <w:t>2</w:t>
      </w:r>
      <w:r w:rsidR="007A4445">
        <w:rPr>
          <w:rFonts w:ascii="Myriad Pro" w:hAnsi="Myriad Pro"/>
        </w:rPr>
        <w:t>O, and 1% – 2</w:t>
      </w:r>
      <w:r w:rsidR="00CB37E6">
        <w:rPr>
          <w:rFonts w:ascii="Myriad Pro" w:hAnsi="Myriad Pro"/>
        </w:rPr>
        <w:t xml:space="preserve">% </w:t>
      </w:r>
      <w:proofErr w:type="spellStart"/>
      <w:r w:rsidR="00CB37E6">
        <w:rPr>
          <w:rFonts w:ascii="Myriad Pro" w:hAnsi="Myriad Pro"/>
        </w:rPr>
        <w:t>u</w:t>
      </w:r>
      <w:r w:rsidR="002248F3" w:rsidRPr="00072AE1">
        <w:rPr>
          <w:rFonts w:ascii="Myriad Pro" w:hAnsi="Myriad Pro"/>
        </w:rPr>
        <w:t>ranyl</w:t>
      </w:r>
      <w:proofErr w:type="spellEnd"/>
      <w:r w:rsidR="002248F3" w:rsidRPr="00072AE1">
        <w:rPr>
          <w:rFonts w:ascii="Myriad Pro" w:hAnsi="Myriad Pro"/>
        </w:rPr>
        <w:t xml:space="preserve"> acetate (or another appropriate EM stain); as well as wedges of </w:t>
      </w:r>
      <w:proofErr w:type="spellStart"/>
      <w:r w:rsidR="002248F3" w:rsidRPr="00072AE1">
        <w:rPr>
          <w:rFonts w:ascii="Myriad Pro" w:hAnsi="Myriad Pro"/>
        </w:rPr>
        <w:t>Whatmann</w:t>
      </w:r>
      <w:proofErr w:type="spellEnd"/>
      <w:r w:rsidR="002248F3" w:rsidRPr="00072AE1">
        <w:rPr>
          <w:rFonts w:ascii="Myriad Pro" w:hAnsi="Myriad Pro"/>
        </w:rPr>
        <w:t xml:space="preserve"> filter paper.</w:t>
      </w:r>
    </w:p>
    <w:p w14:paraId="17637042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51B50DEF" w14:textId="315E9E52" w:rsidR="002248F3" w:rsidRPr="00216D2C" w:rsidRDefault="002248F3" w:rsidP="00216D2C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Lay out a </w:t>
      </w:r>
      <w:r w:rsidR="00866245">
        <w:rPr>
          <w:rFonts w:ascii="Myriad Pro" w:hAnsi="Myriad Pro"/>
        </w:rPr>
        <w:t>lab wipe</w:t>
      </w:r>
      <w:r w:rsidR="006B5247">
        <w:rPr>
          <w:rFonts w:ascii="Myriad Pro" w:hAnsi="Myriad Pro"/>
        </w:rPr>
        <w:t xml:space="preserve"> on the bench to work over as a precaution measure in case the grid is dropped. </w:t>
      </w:r>
      <w:r w:rsidRPr="00216D2C">
        <w:rPr>
          <w:rFonts w:ascii="Myriad Pro" w:hAnsi="Myriad Pro"/>
        </w:rPr>
        <w:t>Use the reverse grip forceps to pick up a grid</w:t>
      </w:r>
      <w:r w:rsidR="00380D88">
        <w:rPr>
          <w:rFonts w:ascii="Myriad Pro" w:hAnsi="Myriad Pro"/>
        </w:rPr>
        <w:t xml:space="preserve"> </w:t>
      </w:r>
      <w:r w:rsidRPr="00216D2C">
        <w:rPr>
          <w:rFonts w:ascii="Myriad Pro" w:hAnsi="Myriad Pro"/>
        </w:rPr>
        <w:t>(</w:t>
      </w:r>
      <w:r w:rsidR="00F30406">
        <w:rPr>
          <w:rFonts w:ascii="Myriad Pro" w:hAnsi="Myriad Pro"/>
        </w:rPr>
        <w:t xml:space="preserve">they </w:t>
      </w:r>
      <w:r w:rsidRPr="00216D2C">
        <w:rPr>
          <w:rFonts w:ascii="Myriad Pro" w:hAnsi="Myriad Pro"/>
        </w:rPr>
        <w:t xml:space="preserve">stay closed when </w:t>
      </w:r>
      <w:r w:rsidR="00C76378">
        <w:rPr>
          <w:rFonts w:ascii="Myriad Pro" w:hAnsi="Myriad Pro"/>
        </w:rPr>
        <w:t>untouched</w:t>
      </w:r>
      <w:r w:rsidRPr="00216D2C">
        <w:rPr>
          <w:rFonts w:ascii="Myriad Pro" w:hAnsi="Myriad Pro"/>
        </w:rPr>
        <w:t>).</w:t>
      </w:r>
    </w:p>
    <w:p w14:paraId="542E5793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29E47AE5" w14:textId="68279B6B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Set the forceps down </w:t>
      </w:r>
      <w:r w:rsidR="00D72245">
        <w:rPr>
          <w:rFonts w:ascii="Myriad Pro" w:hAnsi="Myriad Pro"/>
        </w:rPr>
        <w:t>on</w:t>
      </w:r>
      <w:r w:rsidRPr="00072AE1">
        <w:rPr>
          <w:rFonts w:ascii="Myriad Pro" w:hAnsi="Myriad Pro"/>
        </w:rPr>
        <w:t xml:space="preserve"> </w:t>
      </w:r>
      <w:r w:rsidR="00866245">
        <w:rPr>
          <w:rFonts w:ascii="Myriad Pro" w:hAnsi="Myriad Pro"/>
        </w:rPr>
        <w:t>lab wipe</w:t>
      </w:r>
      <w:r w:rsidRPr="00072AE1">
        <w:rPr>
          <w:rFonts w:ascii="Myriad Pro" w:hAnsi="Myriad Pro"/>
        </w:rPr>
        <w:t>, with the carbon-side up on the grid.</w:t>
      </w:r>
    </w:p>
    <w:p w14:paraId="3F2653E0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3D4B5A57" w14:textId="6BB9B5D5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Apply 5</w:t>
      </w:r>
      <w:r w:rsidR="00866245">
        <w:rPr>
          <w:rFonts w:ascii="Myriad Pro" w:hAnsi="Myriad Pro"/>
        </w:rPr>
        <w:t xml:space="preserve"> </w:t>
      </w:r>
      <w:r w:rsidR="00866245" w:rsidRPr="00866245">
        <w:rPr>
          <w:rFonts w:ascii="Myriad Pro" w:hAnsi="Myriad Pro"/>
        </w:rPr>
        <w:t>µ</w:t>
      </w:r>
      <w:r w:rsidR="00866245">
        <w:rPr>
          <w:rFonts w:ascii="Myriad Pro" w:hAnsi="Myriad Pro"/>
        </w:rPr>
        <w:t>L</w:t>
      </w:r>
      <w:r w:rsidR="00866245" w:rsidRPr="00072AE1">
        <w:rPr>
          <w:rFonts w:ascii="Myriad Pro" w:hAnsi="Myriad Pro"/>
        </w:rPr>
        <w:t xml:space="preserve"> </w:t>
      </w:r>
      <w:r w:rsidR="00AA66D7">
        <w:rPr>
          <w:rFonts w:ascii="Myriad Pro" w:hAnsi="Myriad Pro"/>
        </w:rPr>
        <w:t>of your sample for 30 seconds</w:t>
      </w:r>
      <w:r w:rsidRPr="00072AE1">
        <w:rPr>
          <w:rFonts w:ascii="Myriad Pro" w:hAnsi="Myriad Pro"/>
        </w:rPr>
        <w:t xml:space="preserve"> (this is</w:t>
      </w:r>
      <w:r w:rsidR="00866245">
        <w:rPr>
          <w:rFonts w:ascii="Myriad Pro" w:hAnsi="Myriad Pro"/>
        </w:rPr>
        <w:t xml:space="preserve"> a good length of time for a 10</w:t>
      </w:r>
      <w:r w:rsidRPr="00866245">
        <w:rPr>
          <w:rFonts w:ascii="Myriad Pro" w:hAnsi="Myriad Pro"/>
          <w:vertAlign w:val="superscript"/>
        </w:rPr>
        <w:t>10</w:t>
      </w:r>
      <w:r w:rsidRPr="00072AE1">
        <w:rPr>
          <w:rFonts w:ascii="Myriad Pro" w:hAnsi="Myriad Pro"/>
        </w:rPr>
        <w:t xml:space="preserve"> </w:t>
      </w:r>
      <w:proofErr w:type="spellStart"/>
      <w:r w:rsidRPr="00072AE1">
        <w:rPr>
          <w:rFonts w:ascii="Myriad Pro" w:hAnsi="Myriad Pro"/>
        </w:rPr>
        <w:t>pfu</w:t>
      </w:r>
      <w:proofErr w:type="spellEnd"/>
      <w:r w:rsidRPr="00072AE1">
        <w:rPr>
          <w:rFonts w:ascii="Myriad Pro" w:hAnsi="Myriad Pro"/>
        </w:rPr>
        <w:t>/m</w:t>
      </w:r>
      <w:r w:rsidR="002B7D29">
        <w:rPr>
          <w:rFonts w:ascii="Myriad Pro" w:hAnsi="Myriad Pro"/>
        </w:rPr>
        <w:t>L</w:t>
      </w:r>
      <w:r w:rsidRPr="00072AE1">
        <w:rPr>
          <w:rFonts w:ascii="Myriad Pro" w:hAnsi="Myriad Pro"/>
        </w:rPr>
        <w:t xml:space="preserve"> sample fr</w:t>
      </w:r>
      <w:r w:rsidR="001B5002">
        <w:rPr>
          <w:rFonts w:ascii="Myriad Pro" w:hAnsi="Myriad Pro"/>
        </w:rPr>
        <w:t xml:space="preserve">om a </w:t>
      </w:r>
      <w:proofErr w:type="spellStart"/>
      <w:r w:rsidR="001B5002">
        <w:rPr>
          <w:rFonts w:ascii="Myriad Pro" w:hAnsi="Myriad Pro"/>
        </w:rPr>
        <w:t>CsCl</w:t>
      </w:r>
      <w:proofErr w:type="spellEnd"/>
      <w:r w:rsidR="001B5002">
        <w:rPr>
          <w:rFonts w:ascii="Myriad Pro" w:hAnsi="Myriad Pro"/>
        </w:rPr>
        <w:t xml:space="preserve"> banded phage sample. For a more diluted sample, longer wait times may be necessary (5 or even 10 minutes).</w:t>
      </w:r>
    </w:p>
    <w:p w14:paraId="3C6C7D4F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0ED58976" w14:textId="2BF1A82A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Aspirate 5</w:t>
      </w:r>
      <w:r w:rsidR="00CB37E6">
        <w:rPr>
          <w:rFonts w:ascii="Myriad Pro" w:hAnsi="Myriad Pro"/>
        </w:rPr>
        <w:t xml:space="preserve"> </w:t>
      </w:r>
      <w:r w:rsidR="00CB37E6" w:rsidRPr="00866245">
        <w:rPr>
          <w:rFonts w:ascii="Myriad Pro" w:hAnsi="Myriad Pro"/>
        </w:rPr>
        <w:t>µ</w:t>
      </w:r>
      <w:r w:rsidR="00CB37E6">
        <w:rPr>
          <w:rFonts w:ascii="Myriad Pro" w:hAnsi="Myriad Pro"/>
        </w:rPr>
        <w:t>L</w:t>
      </w:r>
      <w:r w:rsidR="00CB37E6" w:rsidRPr="00072AE1">
        <w:rPr>
          <w:rFonts w:ascii="Myriad Pro" w:hAnsi="Myriad Pro"/>
        </w:rPr>
        <w:t xml:space="preserve"> </w:t>
      </w:r>
      <w:r w:rsidRPr="00072AE1">
        <w:rPr>
          <w:rFonts w:ascii="Myriad Pro" w:hAnsi="Myriad Pro"/>
        </w:rPr>
        <w:t xml:space="preserve">of stain into </w:t>
      </w:r>
      <w:r w:rsidR="00866245">
        <w:rPr>
          <w:rFonts w:ascii="Myriad Pro" w:hAnsi="Myriad Pro"/>
        </w:rPr>
        <w:t>P10 or P20 micropipettor</w:t>
      </w:r>
      <w:r w:rsidRPr="00072AE1">
        <w:rPr>
          <w:rFonts w:ascii="Myriad Pro" w:hAnsi="Myriad Pro"/>
        </w:rPr>
        <w:t xml:space="preserve">. Take stain from the top of the tube without mixing the tube. </w:t>
      </w:r>
      <w:proofErr w:type="spellStart"/>
      <w:r w:rsidRPr="00072AE1">
        <w:rPr>
          <w:rFonts w:ascii="Myriad Pro" w:hAnsi="Myriad Pro"/>
        </w:rPr>
        <w:t>Uranyl</w:t>
      </w:r>
      <w:proofErr w:type="spellEnd"/>
      <w:r w:rsidRPr="00072AE1">
        <w:rPr>
          <w:rFonts w:ascii="Myriad Pro" w:hAnsi="Myriad Pro"/>
        </w:rPr>
        <w:t xml:space="preserve"> acetate makes precipitates that will sink to the bottom of the tube that will show up as big black marks on grid that should be avoided. Carefully lay the </w:t>
      </w:r>
      <w:r w:rsidR="00AD4440">
        <w:rPr>
          <w:rFonts w:ascii="Myriad Pro" w:hAnsi="Myriad Pro"/>
        </w:rPr>
        <w:t>pipettor</w:t>
      </w:r>
      <w:r w:rsidRPr="00072AE1">
        <w:rPr>
          <w:rFonts w:ascii="Myriad Pro" w:hAnsi="Myriad Pro"/>
        </w:rPr>
        <w:t xml:space="preserve"> down on the bench without dispensing the stain.</w:t>
      </w:r>
    </w:p>
    <w:p w14:paraId="29101DBC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31071CC7" w14:textId="61B28713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Aspirate 30</w:t>
      </w:r>
      <w:r w:rsidR="00866245">
        <w:rPr>
          <w:rFonts w:ascii="Myriad Pro" w:hAnsi="Myriad Pro"/>
        </w:rPr>
        <w:t xml:space="preserve"> </w:t>
      </w:r>
      <w:r w:rsidR="00866245" w:rsidRPr="00866245">
        <w:rPr>
          <w:rFonts w:ascii="Myriad Pro" w:hAnsi="Myriad Pro"/>
        </w:rPr>
        <w:t>µ</w:t>
      </w:r>
      <w:r w:rsidR="00866245">
        <w:rPr>
          <w:rFonts w:ascii="Myriad Pro" w:hAnsi="Myriad Pro"/>
        </w:rPr>
        <w:t>L</w:t>
      </w:r>
      <w:r w:rsidRPr="00072AE1">
        <w:rPr>
          <w:rFonts w:ascii="Myriad Pro" w:hAnsi="Myriad Pro"/>
        </w:rPr>
        <w:t xml:space="preserve"> of ddH</w:t>
      </w:r>
      <w:r w:rsidRPr="00866245">
        <w:rPr>
          <w:rFonts w:ascii="Myriad Pro" w:hAnsi="Myriad Pro"/>
          <w:vertAlign w:val="subscript"/>
        </w:rPr>
        <w:t>2</w:t>
      </w:r>
      <w:r w:rsidR="00866245">
        <w:rPr>
          <w:rFonts w:ascii="Myriad Pro" w:hAnsi="Myriad Pro"/>
        </w:rPr>
        <w:t xml:space="preserve">O </w:t>
      </w:r>
      <w:r w:rsidR="007F2077">
        <w:rPr>
          <w:rFonts w:ascii="Myriad Pro" w:hAnsi="Myriad Pro"/>
        </w:rPr>
        <w:t>into the</w:t>
      </w:r>
      <w:r w:rsidR="00866245">
        <w:rPr>
          <w:rFonts w:ascii="Myriad Pro" w:hAnsi="Myriad Pro"/>
        </w:rPr>
        <w:t xml:space="preserve"> P200 pipettor.</w:t>
      </w:r>
    </w:p>
    <w:p w14:paraId="6A518D8F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78E7DEDF" w14:textId="2EA1EC6C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Use the</w:t>
      </w:r>
      <w:r w:rsidR="00866245">
        <w:rPr>
          <w:rFonts w:ascii="Myriad Pro" w:hAnsi="Myriad Pro"/>
        </w:rPr>
        <w:t xml:space="preserve"> forceps to turn the grid to 45-</w:t>
      </w:r>
      <w:r w:rsidRPr="00072AE1">
        <w:rPr>
          <w:rFonts w:ascii="Myriad Pro" w:hAnsi="Myriad Pro"/>
        </w:rPr>
        <w:t>degree angle from the bench. Carefully</w:t>
      </w:r>
      <w:r w:rsidR="00D25C31">
        <w:rPr>
          <w:rFonts w:ascii="Myriad Pro" w:hAnsi="Myriad Pro"/>
        </w:rPr>
        <w:t xml:space="preserve"> and slowly expel the water in </w:t>
      </w:r>
      <w:r w:rsidRPr="00072AE1">
        <w:rPr>
          <w:rFonts w:ascii="Myriad Pro" w:hAnsi="Myriad Pro"/>
        </w:rPr>
        <w:t xml:space="preserve">pipet-tip across the grid face (should be 5 or 6 drops that should run across the grid face and drip off the other side onto </w:t>
      </w:r>
      <w:r w:rsidR="00D25C31">
        <w:rPr>
          <w:rFonts w:ascii="Myriad Pro" w:hAnsi="Myriad Pro"/>
        </w:rPr>
        <w:t>the lab wipe.</w:t>
      </w:r>
      <w:r w:rsidRPr="00072AE1">
        <w:rPr>
          <w:rFonts w:ascii="Myriad Pro" w:hAnsi="Myriad Pro"/>
        </w:rPr>
        <w:t xml:space="preserve"> Try not to get the water on the back of the grid. If using an </w:t>
      </w:r>
      <w:proofErr w:type="spellStart"/>
      <w:r w:rsidRPr="00072AE1">
        <w:rPr>
          <w:rFonts w:ascii="Myriad Pro" w:hAnsi="Myriad Pro"/>
        </w:rPr>
        <w:t>undialyzed</w:t>
      </w:r>
      <w:proofErr w:type="spellEnd"/>
      <w:r w:rsidRPr="00072AE1">
        <w:rPr>
          <w:rFonts w:ascii="Myriad Pro" w:hAnsi="Myriad Pro"/>
        </w:rPr>
        <w:t xml:space="preserve"> </w:t>
      </w:r>
      <w:proofErr w:type="spellStart"/>
      <w:r w:rsidRPr="00072AE1">
        <w:rPr>
          <w:rFonts w:ascii="Myriad Pro" w:hAnsi="Myriad Pro"/>
        </w:rPr>
        <w:t>CsCl</w:t>
      </w:r>
      <w:proofErr w:type="spellEnd"/>
      <w:r w:rsidRPr="00072AE1">
        <w:rPr>
          <w:rFonts w:ascii="Myriad Pro" w:hAnsi="Myriad Pro"/>
        </w:rPr>
        <w:t xml:space="preserve"> banded sample</w:t>
      </w:r>
      <w:r w:rsidR="00B412B6">
        <w:rPr>
          <w:rFonts w:ascii="Myriad Pro" w:hAnsi="Myriad Pro"/>
        </w:rPr>
        <w:t>, more water may be needed to wash away all salts</w:t>
      </w:r>
      <w:r w:rsidRPr="00072AE1">
        <w:rPr>
          <w:rFonts w:ascii="Myriad Pro" w:hAnsi="Myriad Pro"/>
        </w:rPr>
        <w:t>.</w:t>
      </w:r>
    </w:p>
    <w:p w14:paraId="55B0A61A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725E1662" w14:textId="4110C468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Immediately set the forceps back down on the </w:t>
      </w:r>
      <w:r w:rsidR="00866245">
        <w:rPr>
          <w:rFonts w:ascii="Myriad Pro" w:hAnsi="Myriad Pro"/>
        </w:rPr>
        <w:t xml:space="preserve">lab wipe and put 5 </w:t>
      </w:r>
      <w:r w:rsidR="00866245" w:rsidRPr="00866245">
        <w:rPr>
          <w:rFonts w:ascii="Myriad Pro" w:hAnsi="Myriad Pro"/>
        </w:rPr>
        <w:t>µ</w:t>
      </w:r>
      <w:r w:rsidR="00866245">
        <w:rPr>
          <w:rFonts w:ascii="Myriad Pro" w:hAnsi="Myriad Pro"/>
        </w:rPr>
        <w:t xml:space="preserve">L </w:t>
      </w:r>
      <w:r w:rsidRPr="00072AE1">
        <w:rPr>
          <w:rFonts w:ascii="Myriad Pro" w:hAnsi="Myriad Pro"/>
        </w:rPr>
        <w:t>of stain onto the carbo</w:t>
      </w:r>
      <w:r w:rsidR="00D60941">
        <w:rPr>
          <w:rFonts w:ascii="Myriad Pro" w:hAnsi="Myriad Pro"/>
        </w:rPr>
        <w:t xml:space="preserve">n/sample side. Do not </w:t>
      </w:r>
      <w:r w:rsidR="00A304D2">
        <w:rPr>
          <w:rFonts w:ascii="Myriad Pro" w:hAnsi="Myriad Pro"/>
        </w:rPr>
        <w:t>wait;</w:t>
      </w:r>
      <w:r w:rsidR="00D60941">
        <w:rPr>
          <w:rFonts w:ascii="Myriad Pro" w:hAnsi="Myriad Pro"/>
        </w:rPr>
        <w:t xml:space="preserve"> all the buffer </w:t>
      </w:r>
      <w:proofErr w:type="spellStart"/>
      <w:r w:rsidR="00D60941">
        <w:rPr>
          <w:rFonts w:ascii="Myriad Pro" w:hAnsi="Myriad Pro"/>
        </w:rPr>
        <w:t>haave</w:t>
      </w:r>
      <w:proofErr w:type="spellEnd"/>
      <w:r w:rsidR="00D60941">
        <w:rPr>
          <w:rFonts w:ascii="Myriad Pro" w:hAnsi="Myriad Pro"/>
        </w:rPr>
        <w:t xml:space="preserve"> been washed off the grid </w:t>
      </w:r>
      <w:r w:rsidRPr="00072AE1">
        <w:rPr>
          <w:rFonts w:ascii="Myriad Pro" w:hAnsi="Myriad Pro"/>
        </w:rPr>
        <w:t xml:space="preserve">and the pure water could denature </w:t>
      </w:r>
      <w:r w:rsidR="00A304D2">
        <w:rPr>
          <w:rFonts w:ascii="Myriad Pro" w:hAnsi="Myriad Pro"/>
        </w:rPr>
        <w:t>the phage particles</w:t>
      </w:r>
      <w:r w:rsidRPr="00072AE1">
        <w:rPr>
          <w:rFonts w:ascii="Myriad Pro" w:hAnsi="Myriad Pro"/>
        </w:rPr>
        <w:t>. The stain is a fixative and will preserve the structures.</w:t>
      </w:r>
    </w:p>
    <w:p w14:paraId="74E116A6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1E8D93BB" w14:textId="77777777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 xml:space="preserve">Use a </w:t>
      </w:r>
      <w:proofErr w:type="spellStart"/>
      <w:r w:rsidRPr="00072AE1">
        <w:rPr>
          <w:rFonts w:ascii="Myriad Pro" w:hAnsi="Myriad Pro"/>
        </w:rPr>
        <w:t>Whatmann</w:t>
      </w:r>
      <w:proofErr w:type="spellEnd"/>
      <w:r w:rsidRPr="00072AE1">
        <w:rPr>
          <w:rFonts w:ascii="Myriad Pro" w:hAnsi="Myriad Pro"/>
        </w:rPr>
        <w:t xml:space="preserve"> paper wedge to soak up the stain on the grid by only touching the outer copper ring of the grid. Keep drying the grid until the surface looks like a shiny oil slick.</w:t>
      </w:r>
    </w:p>
    <w:p w14:paraId="7A2ECB06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38693697" w14:textId="77777777" w:rsidR="002248F3" w:rsidRPr="00072AE1" w:rsidRDefault="002248F3" w:rsidP="00866245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072AE1">
        <w:rPr>
          <w:rFonts w:ascii="Myriad Pro" w:hAnsi="Myriad Pro"/>
        </w:rPr>
        <w:t>Leave grids along for another few minutes to finish air-drying, then place in a grid box.</w:t>
      </w:r>
    </w:p>
    <w:p w14:paraId="702F9498" w14:textId="77777777" w:rsidR="00866245" w:rsidRDefault="00866245" w:rsidP="00866245">
      <w:pPr>
        <w:pStyle w:val="ListParagraph"/>
        <w:spacing w:after="0" w:line="240" w:lineRule="auto"/>
        <w:ind w:left="1080"/>
        <w:rPr>
          <w:rFonts w:ascii="Myriad Pro" w:hAnsi="Myriad Pro"/>
        </w:rPr>
      </w:pPr>
    </w:p>
    <w:p w14:paraId="735AEC44" w14:textId="49E01467" w:rsidR="00DA46B5" w:rsidRPr="00866245" w:rsidRDefault="002248F3" w:rsidP="00300136">
      <w:pPr>
        <w:pStyle w:val="ListParagraph"/>
        <w:numPr>
          <w:ilvl w:val="0"/>
          <w:numId w:val="40"/>
        </w:numPr>
        <w:spacing w:after="0" w:line="240" w:lineRule="auto"/>
        <w:rPr>
          <w:rFonts w:ascii="Myriad Pro" w:hAnsi="Myriad Pro"/>
        </w:rPr>
      </w:pPr>
      <w:r w:rsidRPr="00866245">
        <w:rPr>
          <w:rFonts w:ascii="Myriad Pro" w:hAnsi="Myriad Pro"/>
        </w:rPr>
        <w:t>Grids should be looked at immediately—water absorbed from the air can ruin samples. If it isn’t possible to look at samples immediately, place grid box in a container with desiccant.</w:t>
      </w:r>
    </w:p>
    <w:sectPr w:rsidR="00DA46B5" w:rsidRPr="00866245" w:rsidSect="00DA46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E"/>
    <w:multiLevelType w:val="hybridMultilevel"/>
    <w:tmpl w:val="A1EC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2C45"/>
    <w:multiLevelType w:val="hybridMultilevel"/>
    <w:tmpl w:val="109E02F2"/>
    <w:lvl w:ilvl="0" w:tplc="1526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205"/>
    <w:multiLevelType w:val="hybridMultilevel"/>
    <w:tmpl w:val="E4E8515C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6AD"/>
    <w:multiLevelType w:val="hybridMultilevel"/>
    <w:tmpl w:val="08C8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3FFC"/>
    <w:multiLevelType w:val="hybridMultilevel"/>
    <w:tmpl w:val="695C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497C"/>
    <w:multiLevelType w:val="hybridMultilevel"/>
    <w:tmpl w:val="8C3C3C64"/>
    <w:lvl w:ilvl="0" w:tplc="B37E6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A5A91"/>
    <w:multiLevelType w:val="hybridMultilevel"/>
    <w:tmpl w:val="33F476A2"/>
    <w:lvl w:ilvl="0" w:tplc="92E6E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1DE7"/>
    <w:multiLevelType w:val="hybridMultilevel"/>
    <w:tmpl w:val="B746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205F"/>
    <w:multiLevelType w:val="hybridMultilevel"/>
    <w:tmpl w:val="45B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7540D"/>
    <w:multiLevelType w:val="hybridMultilevel"/>
    <w:tmpl w:val="8FD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6622"/>
    <w:multiLevelType w:val="hybridMultilevel"/>
    <w:tmpl w:val="2BF005D0"/>
    <w:lvl w:ilvl="0" w:tplc="7590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73209"/>
    <w:multiLevelType w:val="hybridMultilevel"/>
    <w:tmpl w:val="D09E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5574A"/>
    <w:multiLevelType w:val="hybridMultilevel"/>
    <w:tmpl w:val="D858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77549"/>
    <w:multiLevelType w:val="hybridMultilevel"/>
    <w:tmpl w:val="79D4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7EE7"/>
    <w:multiLevelType w:val="hybridMultilevel"/>
    <w:tmpl w:val="69CE7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03D0"/>
    <w:multiLevelType w:val="hybridMultilevel"/>
    <w:tmpl w:val="E8BADBDA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F2A5D"/>
    <w:multiLevelType w:val="hybridMultilevel"/>
    <w:tmpl w:val="F60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63A67"/>
    <w:multiLevelType w:val="hybridMultilevel"/>
    <w:tmpl w:val="5E94EAE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661DE"/>
    <w:multiLevelType w:val="hybridMultilevel"/>
    <w:tmpl w:val="7A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CE8"/>
    <w:multiLevelType w:val="hybridMultilevel"/>
    <w:tmpl w:val="FBE0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E26A1"/>
    <w:multiLevelType w:val="hybridMultilevel"/>
    <w:tmpl w:val="566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A5A02"/>
    <w:multiLevelType w:val="hybridMultilevel"/>
    <w:tmpl w:val="6B7E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7FB1"/>
    <w:multiLevelType w:val="hybridMultilevel"/>
    <w:tmpl w:val="1EDC3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432BB7"/>
    <w:multiLevelType w:val="hybridMultilevel"/>
    <w:tmpl w:val="705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C1FF7"/>
    <w:multiLevelType w:val="hybridMultilevel"/>
    <w:tmpl w:val="FC56F58C"/>
    <w:lvl w:ilvl="0" w:tplc="8EC834F2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700163"/>
    <w:multiLevelType w:val="hybridMultilevel"/>
    <w:tmpl w:val="D2104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548DF"/>
    <w:multiLevelType w:val="hybridMultilevel"/>
    <w:tmpl w:val="A27E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14DBA"/>
    <w:multiLevelType w:val="hybridMultilevel"/>
    <w:tmpl w:val="B2EC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2331C"/>
    <w:multiLevelType w:val="hybridMultilevel"/>
    <w:tmpl w:val="2972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83DF1"/>
    <w:multiLevelType w:val="hybridMultilevel"/>
    <w:tmpl w:val="279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72349"/>
    <w:multiLevelType w:val="hybridMultilevel"/>
    <w:tmpl w:val="AB3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D52AC"/>
    <w:multiLevelType w:val="hybridMultilevel"/>
    <w:tmpl w:val="B02CFF0E"/>
    <w:lvl w:ilvl="0" w:tplc="8EC834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722"/>
    <w:multiLevelType w:val="hybridMultilevel"/>
    <w:tmpl w:val="777088BE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218BD"/>
    <w:multiLevelType w:val="hybridMultilevel"/>
    <w:tmpl w:val="556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80BCD"/>
    <w:multiLevelType w:val="hybridMultilevel"/>
    <w:tmpl w:val="C78E454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0133D"/>
    <w:multiLevelType w:val="hybridMultilevel"/>
    <w:tmpl w:val="673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B228C"/>
    <w:multiLevelType w:val="hybridMultilevel"/>
    <w:tmpl w:val="33163528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F4E6A"/>
    <w:multiLevelType w:val="hybridMultilevel"/>
    <w:tmpl w:val="2D625390"/>
    <w:lvl w:ilvl="0" w:tplc="403EF84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258BA"/>
    <w:multiLevelType w:val="hybridMultilevel"/>
    <w:tmpl w:val="4C2EE398"/>
    <w:lvl w:ilvl="0" w:tplc="000F0409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D770833"/>
    <w:multiLevelType w:val="hybridMultilevel"/>
    <w:tmpl w:val="E5F0B9DC"/>
    <w:lvl w:ilvl="0" w:tplc="FC40ADB0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4"/>
  </w:num>
  <w:num w:numId="4">
    <w:abstractNumId w:val="37"/>
  </w:num>
  <w:num w:numId="5">
    <w:abstractNumId w:val="17"/>
  </w:num>
  <w:num w:numId="6">
    <w:abstractNumId w:val="0"/>
  </w:num>
  <w:num w:numId="7">
    <w:abstractNumId w:val="36"/>
  </w:num>
  <w:num w:numId="8">
    <w:abstractNumId w:val="2"/>
  </w:num>
  <w:num w:numId="9">
    <w:abstractNumId w:val="31"/>
  </w:num>
  <w:num w:numId="10">
    <w:abstractNumId w:val="24"/>
  </w:num>
  <w:num w:numId="11">
    <w:abstractNumId w:val="26"/>
  </w:num>
  <w:num w:numId="12">
    <w:abstractNumId w:val="7"/>
  </w:num>
  <w:num w:numId="13">
    <w:abstractNumId w:val="13"/>
  </w:num>
  <w:num w:numId="14">
    <w:abstractNumId w:val="9"/>
  </w:num>
  <w:num w:numId="15">
    <w:abstractNumId w:val="18"/>
  </w:num>
  <w:num w:numId="16">
    <w:abstractNumId w:val="16"/>
  </w:num>
  <w:num w:numId="17">
    <w:abstractNumId w:val="29"/>
  </w:num>
  <w:num w:numId="18">
    <w:abstractNumId w:val="28"/>
  </w:num>
  <w:num w:numId="19">
    <w:abstractNumId w:val="5"/>
  </w:num>
  <w:num w:numId="20">
    <w:abstractNumId w:val="11"/>
  </w:num>
  <w:num w:numId="21">
    <w:abstractNumId w:val="10"/>
  </w:num>
  <w:num w:numId="22">
    <w:abstractNumId w:val="21"/>
  </w:num>
  <w:num w:numId="23">
    <w:abstractNumId w:val="32"/>
  </w:num>
  <w:num w:numId="24">
    <w:abstractNumId w:val="3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9"/>
  </w:num>
  <w:num w:numId="28">
    <w:abstractNumId w:val="27"/>
  </w:num>
  <w:num w:numId="29">
    <w:abstractNumId w:val="12"/>
  </w:num>
  <w:num w:numId="30">
    <w:abstractNumId w:val="14"/>
  </w:num>
  <w:num w:numId="31">
    <w:abstractNumId w:val="3"/>
  </w:num>
  <w:num w:numId="32">
    <w:abstractNumId w:val="19"/>
  </w:num>
  <w:num w:numId="33">
    <w:abstractNumId w:val="35"/>
  </w:num>
  <w:num w:numId="34">
    <w:abstractNumId w:val="38"/>
  </w:num>
  <w:num w:numId="35">
    <w:abstractNumId w:val="20"/>
  </w:num>
  <w:num w:numId="36">
    <w:abstractNumId w:val="8"/>
  </w:num>
  <w:num w:numId="37">
    <w:abstractNumId w:val="23"/>
  </w:num>
  <w:num w:numId="38">
    <w:abstractNumId w:val="25"/>
  </w:num>
  <w:num w:numId="39">
    <w:abstractNumId w:val="4"/>
  </w:num>
  <w:num w:numId="40">
    <w:abstractNumId w:val="2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7"/>
    <w:rsid w:val="00017660"/>
    <w:rsid w:val="00055A1A"/>
    <w:rsid w:val="00073873"/>
    <w:rsid w:val="000A282B"/>
    <w:rsid w:val="000B7CFF"/>
    <w:rsid w:val="000C2D78"/>
    <w:rsid w:val="00143D3E"/>
    <w:rsid w:val="0015750F"/>
    <w:rsid w:val="001B5002"/>
    <w:rsid w:val="001E6B33"/>
    <w:rsid w:val="0020421F"/>
    <w:rsid w:val="0021540A"/>
    <w:rsid w:val="00216D2C"/>
    <w:rsid w:val="002248F3"/>
    <w:rsid w:val="00240BCC"/>
    <w:rsid w:val="00246FDC"/>
    <w:rsid w:val="00251FCF"/>
    <w:rsid w:val="002B7D29"/>
    <w:rsid w:val="002E14CD"/>
    <w:rsid w:val="00300136"/>
    <w:rsid w:val="003101E2"/>
    <w:rsid w:val="00315E01"/>
    <w:rsid w:val="00317F7B"/>
    <w:rsid w:val="00321DC8"/>
    <w:rsid w:val="003326C7"/>
    <w:rsid w:val="00380D88"/>
    <w:rsid w:val="003C124C"/>
    <w:rsid w:val="00427B02"/>
    <w:rsid w:val="00442DAC"/>
    <w:rsid w:val="0044325E"/>
    <w:rsid w:val="005203CC"/>
    <w:rsid w:val="005468BA"/>
    <w:rsid w:val="005A6E55"/>
    <w:rsid w:val="005D1672"/>
    <w:rsid w:val="005F6C49"/>
    <w:rsid w:val="00626BDF"/>
    <w:rsid w:val="00637523"/>
    <w:rsid w:val="006659D3"/>
    <w:rsid w:val="0067085A"/>
    <w:rsid w:val="006A6BD6"/>
    <w:rsid w:val="006B5247"/>
    <w:rsid w:val="006E75F7"/>
    <w:rsid w:val="0072044A"/>
    <w:rsid w:val="00756186"/>
    <w:rsid w:val="00765354"/>
    <w:rsid w:val="00793950"/>
    <w:rsid w:val="007A2315"/>
    <w:rsid w:val="007A4445"/>
    <w:rsid w:val="007F2077"/>
    <w:rsid w:val="00817086"/>
    <w:rsid w:val="0081762C"/>
    <w:rsid w:val="00817C3D"/>
    <w:rsid w:val="00823767"/>
    <w:rsid w:val="00832DD8"/>
    <w:rsid w:val="00866245"/>
    <w:rsid w:val="00887235"/>
    <w:rsid w:val="008A1483"/>
    <w:rsid w:val="008B3294"/>
    <w:rsid w:val="008D3DC2"/>
    <w:rsid w:val="008F09F6"/>
    <w:rsid w:val="009061AD"/>
    <w:rsid w:val="00925E40"/>
    <w:rsid w:val="0097704F"/>
    <w:rsid w:val="009A1B03"/>
    <w:rsid w:val="009C229E"/>
    <w:rsid w:val="009C441C"/>
    <w:rsid w:val="00A1019E"/>
    <w:rsid w:val="00A20D4D"/>
    <w:rsid w:val="00A304D2"/>
    <w:rsid w:val="00AA66D7"/>
    <w:rsid w:val="00AB4A7F"/>
    <w:rsid w:val="00AC0A1F"/>
    <w:rsid w:val="00AC0B0E"/>
    <w:rsid w:val="00AD4440"/>
    <w:rsid w:val="00B401D3"/>
    <w:rsid w:val="00B40613"/>
    <w:rsid w:val="00B412B6"/>
    <w:rsid w:val="00B606C3"/>
    <w:rsid w:val="00B65AE2"/>
    <w:rsid w:val="00B803AC"/>
    <w:rsid w:val="00BE74BB"/>
    <w:rsid w:val="00C76378"/>
    <w:rsid w:val="00C92CB6"/>
    <w:rsid w:val="00CA01F5"/>
    <w:rsid w:val="00CB37E6"/>
    <w:rsid w:val="00CB5BD1"/>
    <w:rsid w:val="00CC1BE4"/>
    <w:rsid w:val="00CF5A59"/>
    <w:rsid w:val="00CF6F79"/>
    <w:rsid w:val="00D17AB4"/>
    <w:rsid w:val="00D25C31"/>
    <w:rsid w:val="00D60941"/>
    <w:rsid w:val="00D644C7"/>
    <w:rsid w:val="00D72245"/>
    <w:rsid w:val="00D739A8"/>
    <w:rsid w:val="00DA46B5"/>
    <w:rsid w:val="00DD345E"/>
    <w:rsid w:val="00E059DC"/>
    <w:rsid w:val="00E2077B"/>
    <w:rsid w:val="00E20FD1"/>
    <w:rsid w:val="00E47456"/>
    <w:rsid w:val="00E607B8"/>
    <w:rsid w:val="00EA1948"/>
    <w:rsid w:val="00EC1E75"/>
    <w:rsid w:val="00EC36D3"/>
    <w:rsid w:val="00EC6C9E"/>
    <w:rsid w:val="00EF0395"/>
    <w:rsid w:val="00EF2A9A"/>
    <w:rsid w:val="00F04416"/>
    <w:rsid w:val="00F14F63"/>
    <w:rsid w:val="00F21ABD"/>
    <w:rsid w:val="00F251B3"/>
    <w:rsid w:val="00F30406"/>
    <w:rsid w:val="00F31426"/>
    <w:rsid w:val="00F7394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5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C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4325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F3134-6D70-4D48-90A8-3AEE4B88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hatfull lab</dc:creator>
  <cp:lastModifiedBy>Enoch</cp:lastModifiedBy>
  <cp:revision>2</cp:revision>
  <cp:lastPrinted>2011-10-03T03:15:00Z</cp:lastPrinted>
  <dcterms:created xsi:type="dcterms:W3CDTF">2013-06-25T22:54:00Z</dcterms:created>
  <dcterms:modified xsi:type="dcterms:W3CDTF">2013-06-25T22:54:00Z</dcterms:modified>
</cp:coreProperties>
</file>