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92E9ECE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B01F6">
        <w:rPr>
          <w:rFonts w:ascii="Arial" w:hAnsi="Arial" w:cs="Arial"/>
          <w:sz w:val="22"/>
          <w:szCs w:val="22"/>
        </w:rPr>
        <w:t>Lewando</w:t>
      </w:r>
      <w:proofErr w:type="spellEnd"/>
    </w:p>
    <w:p w14:paraId="2E0FBF00" w14:textId="12E08C4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B01F6">
        <w:rPr>
          <w:rFonts w:ascii="Arial" w:hAnsi="Arial" w:cs="Arial"/>
          <w:sz w:val="22"/>
          <w:szCs w:val="22"/>
        </w:rPr>
        <w:t>Patrick Lypaczewski</w:t>
      </w:r>
      <w:r w:rsidR="008B01F6">
        <w:rPr>
          <w:rFonts w:ascii="Arial" w:hAnsi="Arial" w:cs="Arial"/>
          <w:sz w:val="22"/>
          <w:szCs w:val="22"/>
        </w:rPr>
        <w:tab/>
      </w:r>
    </w:p>
    <w:p w14:paraId="419445BD" w14:textId="5112EB1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B01F6">
        <w:rPr>
          <w:rFonts w:ascii="Arial" w:hAnsi="Arial" w:cs="Arial"/>
          <w:sz w:val="22"/>
          <w:szCs w:val="22"/>
        </w:rPr>
        <w:t>McGill University</w:t>
      </w:r>
      <w:r w:rsidR="008B01F6">
        <w:rPr>
          <w:rFonts w:ascii="Arial" w:hAnsi="Arial" w:cs="Arial"/>
          <w:sz w:val="22"/>
          <w:szCs w:val="22"/>
        </w:rPr>
        <w:tab/>
      </w:r>
    </w:p>
    <w:p w14:paraId="6794936A" w14:textId="3F90CAE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B01F6">
        <w:rPr>
          <w:rFonts w:ascii="Arial" w:hAnsi="Arial" w:cs="Arial"/>
          <w:sz w:val="22"/>
          <w:szCs w:val="22"/>
        </w:rPr>
        <w:t>Patrick.lypaczewski@mcgill.ca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247C49FA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4F2EBB6F" w14:textId="77777777" w:rsidR="008B01F6" w:rsidRDefault="008B01F6">
      <w:pPr>
        <w:rPr>
          <w:rFonts w:ascii="Arial" w:hAnsi="Arial" w:cs="Arial"/>
          <w:sz w:val="22"/>
          <w:szCs w:val="22"/>
        </w:rPr>
      </w:pPr>
    </w:p>
    <w:p w14:paraId="7B56336F" w14:textId="340D0E50" w:rsidR="002C5C14" w:rsidRDefault="008B01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HNH endonucleases in the AU6 family use HFH residues, as the N is only for structural stabilization and the HH are required for catalytic activity. The glutamine deaminase is not on the approved list, but was presented at the SEA symposium and a summary document is attached, the residues required for function appear conserved. The final membrane protein calls were made using the updated guidelines and </w:t>
      </w:r>
      <w:proofErr w:type="spellStart"/>
      <w:r>
        <w:rPr>
          <w:rFonts w:ascii="Arial" w:hAnsi="Arial" w:cs="Arial"/>
          <w:sz w:val="22"/>
          <w:szCs w:val="22"/>
        </w:rPr>
        <w:t>deepTMHMM</w:t>
      </w:r>
      <w:proofErr w:type="spellEnd"/>
      <w:r>
        <w:rPr>
          <w:rFonts w:ascii="Arial" w:hAnsi="Arial" w:cs="Arial"/>
          <w:sz w:val="22"/>
          <w:szCs w:val="22"/>
        </w:rPr>
        <w:t>. We have no tRNAs and no clear chaperones with any frameshift.</w:t>
      </w:r>
    </w:p>
    <w:p w14:paraId="73EAEBDA" w14:textId="1666FBCA" w:rsidR="008B01F6" w:rsidRDefault="008B01F6">
      <w:pPr>
        <w:rPr>
          <w:rFonts w:ascii="Arial" w:hAnsi="Arial" w:cs="Arial"/>
          <w:sz w:val="22"/>
          <w:szCs w:val="22"/>
        </w:rPr>
      </w:pPr>
    </w:p>
    <w:p w14:paraId="74C2F923" w14:textId="582BEF53" w:rsidR="008470B8" w:rsidRDefault="008B01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also </w:t>
      </w:r>
      <w:proofErr w:type="spellStart"/>
      <w:r>
        <w:rPr>
          <w:rFonts w:ascii="Arial" w:hAnsi="Arial" w:cs="Arial"/>
          <w:sz w:val="22"/>
          <w:szCs w:val="22"/>
        </w:rPr>
        <w:t>resequenced</w:t>
      </w:r>
      <w:proofErr w:type="spellEnd"/>
      <w:r>
        <w:rPr>
          <w:rFonts w:ascii="Arial" w:hAnsi="Arial" w:cs="Arial"/>
          <w:sz w:val="22"/>
          <w:szCs w:val="22"/>
        </w:rPr>
        <w:t xml:space="preserve"> and assembled the </w:t>
      </w:r>
      <w:proofErr w:type="spellStart"/>
      <w:r>
        <w:rPr>
          <w:rFonts w:ascii="Arial" w:hAnsi="Arial" w:cs="Arial"/>
          <w:sz w:val="22"/>
          <w:szCs w:val="22"/>
        </w:rPr>
        <w:t>Lewando</w:t>
      </w:r>
      <w:proofErr w:type="spellEnd"/>
      <w:r>
        <w:rPr>
          <w:rFonts w:ascii="Arial" w:hAnsi="Arial" w:cs="Arial"/>
          <w:sz w:val="22"/>
          <w:szCs w:val="22"/>
        </w:rPr>
        <w:t xml:space="preserve"> genome using a R10.4.1 </w:t>
      </w:r>
      <w:proofErr w:type="spellStart"/>
      <w:r>
        <w:rPr>
          <w:rFonts w:ascii="Arial" w:hAnsi="Arial" w:cs="Arial"/>
          <w:sz w:val="22"/>
          <w:szCs w:val="22"/>
        </w:rPr>
        <w:t>minION</w:t>
      </w:r>
      <w:proofErr w:type="spellEnd"/>
      <w:r>
        <w:rPr>
          <w:rFonts w:ascii="Arial" w:hAnsi="Arial" w:cs="Arial"/>
          <w:sz w:val="22"/>
          <w:szCs w:val="22"/>
        </w:rPr>
        <w:t xml:space="preserve"> flow cell </w:t>
      </w:r>
      <w:proofErr w:type="spellStart"/>
      <w:r>
        <w:rPr>
          <w:rFonts w:ascii="Arial" w:hAnsi="Arial" w:cs="Arial"/>
          <w:sz w:val="22"/>
          <w:szCs w:val="22"/>
        </w:rPr>
        <w:t>basecalled</w:t>
      </w:r>
      <w:proofErr w:type="spellEnd"/>
      <w:r>
        <w:rPr>
          <w:rFonts w:ascii="Arial" w:hAnsi="Arial" w:cs="Arial"/>
          <w:sz w:val="22"/>
          <w:szCs w:val="22"/>
        </w:rPr>
        <w:t xml:space="preserve"> with guppy 6.4.6 SUP model for </w:t>
      </w:r>
      <w:proofErr w:type="spellStart"/>
      <w:r>
        <w:rPr>
          <w:rFonts w:ascii="Arial" w:hAnsi="Arial" w:cs="Arial"/>
          <w:sz w:val="22"/>
          <w:szCs w:val="22"/>
        </w:rPr>
        <w:t>basecalling</w:t>
      </w:r>
      <w:proofErr w:type="spellEnd"/>
      <w:r>
        <w:rPr>
          <w:rFonts w:ascii="Arial" w:hAnsi="Arial" w:cs="Arial"/>
          <w:sz w:val="22"/>
          <w:szCs w:val="22"/>
        </w:rPr>
        <w:t xml:space="preserve"> and confirm the same exact </w:t>
      </w:r>
      <w:proofErr w:type="gramStart"/>
      <w:r>
        <w:rPr>
          <w:rFonts w:ascii="Arial" w:hAnsi="Arial" w:cs="Arial"/>
          <w:sz w:val="22"/>
          <w:szCs w:val="22"/>
        </w:rPr>
        <w:t>sequence</w:t>
      </w:r>
      <w:proofErr w:type="gramEnd"/>
    </w:p>
    <w:p w14:paraId="156CBCB7" w14:textId="07907DF1" w:rsidR="008B01F6" w:rsidRDefault="008B01F6">
      <w:pPr>
        <w:rPr>
          <w:rFonts w:ascii="Arial" w:hAnsi="Arial" w:cs="Arial"/>
          <w:sz w:val="22"/>
          <w:szCs w:val="22"/>
        </w:rPr>
      </w:pPr>
    </w:p>
    <w:p w14:paraId="4D3C48A3" w14:textId="77777777" w:rsidR="008B01F6" w:rsidRPr="008470B8" w:rsidRDefault="008B01F6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9410CCE" w:rsidR="008470B8" w:rsidRPr="00164FBF" w:rsidRDefault="008B01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C3066F5" w:rsidR="008470B8" w:rsidRPr="00164FBF" w:rsidRDefault="008B01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CB8723F" w:rsidR="00E2489B" w:rsidRPr="00164FBF" w:rsidRDefault="008B01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FF75675" w:rsidR="00E2489B" w:rsidRPr="00164FBF" w:rsidRDefault="008B01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E25ADE7" w:rsidR="00E2489B" w:rsidRPr="00164FBF" w:rsidRDefault="008B01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i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689703F" w:rsidR="00E2489B" w:rsidRPr="00164FBF" w:rsidRDefault="008B01F6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3C9478B" w:rsidR="008B222E" w:rsidRPr="00164FBF" w:rsidRDefault="008B01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79625CCD" w:rsidR="00E2489B" w:rsidRPr="00164FBF" w:rsidRDefault="008B01F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F5019B2" w:rsidR="008B222E" w:rsidRDefault="008B01F6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0212FD5" w:rsidR="00A87FA9" w:rsidRDefault="008B01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C17A4DE" w:rsidR="00161A3C" w:rsidRPr="00164FBF" w:rsidRDefault="008B01F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D31E337" w:rsidR="008470B8" w:rsidRPr="001C1B62" w:rsidRDefault="001F355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2610A379" w:rsidR="008470B8" w:rsidRPr="001C1B62" w:rsidRDefault="001F355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540447A" w:rsidR="00AE6315" w:rsidRPr="001C1B62" w:rsidRDefault="001F355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31F8AF37" w:rsidR="00AE6315" w:rsidRPr="001C1B62" w:rsidRDefault="001F355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3BDBADED" w:rsidR="008B222E" w:rsidRPr="001C1B62" w:rsidRDefault="001F355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0BD44401" w:rsidR="00AE6315" w:rsidRPr="001C1B62" w:rsidRDefault="001F355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40528EF4" w:rsidR="002C5C14" w:rsidRDefault="001F355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One note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33400377" w:rsidR="008E09F8" w:rsidRDefault="001F355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Other:  Describe.</w:t>
      </w:r>
      <w:r w:rsidR="00A87FA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One note, one page per gene</w:t>
      </w:r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472401">
    <w:abstractNumId w:val="0"/>
  </w:num>
  <w:num w:numId="2" w16cid:durableId="2008752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1F355C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6376E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01F6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01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Patrick Lypaczewski, Dr</cp:lastModifiedBy>
  <cp:revision>2</cp:revision>
  <dcterms:created xsi:type="dcterms:W3CDTF">2023-05-02T00:15:00Z</dcterms:created>
  <dcterms:modified xsi:type="dcterms:W3CDTF">2023-05-02T00:15:00Z</dcterms:modified>
</cp:coreProperties>
</file>